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D75F37" w14:textId="77777777" w:rsidR="00211DD0" w:rsidRDefault="00211DD0" w:rsidP="00D575EA">
      <w:pPr>
        <w:jc w:val="center"/>
        <w:rPr>
          <w:b/>
          <w:bCs/>
        </w:rPr>
      </w:pPr>
    </w:p>
    <w:p w14:paraId="377623A4" w14:textId="1830C3E1" w:rsidR="00B44DA2" w:rsidRPr="00D575EA" w:rsidRDefault="00E06D95" w:rsidP="00D575EA">
      <w:pPr>
        <w:jc w:val="center"/>
        <w:rPr>
          <w:b/>
          <w:bCs/>
        </w:rPr>
      </w:pPr>
      <w:r w:rsidRPr="00D575EA">
        <w:rPr>
          <w:b/>
          <w:bCs/>
        </w:rPr>
        <w:t>OPIS PRZEDMIOTU ZAMÓWIENIA</w:t>
      </w:r>
      <w:r w:rsidR="00D575EA">
        <w:rPr>
          <w:b/>
          <w:bCs/>
        </w:rPr>
        <w:t xml:space="preserve"> CZĘŚĆ 4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92471484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270BB7E" w14:textId="38565D03" w:rsidR="0004448D" w:rsidRDefault="0004448D">
          <w:pPr>
            <w:pStyle w:val="Nagwekspisutreci"/>
          </w:pPr>
          <w:r>
            <w:t>Spis treści</w:t>
          </w:r>
        </w:p>
        <w:p w14:paraId="4E70DED5" w14:textId="5C66BEBD" w:rsidR="00061A33" w:rsidRDefault="0004448D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12046380" w:history="1">
            <w:r w:rsidR="00061A33" w:rsidRPr="00D03F13">
              <w:rPr>
                <w:rStyle w:val="Hipercze"/>
                <w:noProof/>
              </w:rPr>
              <w:t>Komputer stacjonarny (34 szt.)</w:t>
            </w:r>
            <w:r w:rsidR="00061A33">
              <w:rPr>
                <w:noProof/>
                <w:webHidden/>
              </w:rPr>
              <w:tab/>
            </w:r>
            <w:r w:rsidR="00061A33">
              <w:rPr>
                <w:noProof/>
                <w:webHidden/>
              </w:rPr>
              <w:fldChar w:fldCharType="begin"/>
            </w:r>
            <w:r w:rsidR="00061A33">
              <w:rPr>
                <w:noProof/>
                <w:webHidden/>
              </w:rPr>
              <w:instrText xml:space="preserve"> PAGEREF _Toc212046380 \h </w:instrText>
            </w:r>
            <w:r w:rsidR="00061A33">
              <w:rPr>
                <w:noProof/>
                <w:webHidden/>
              </w:rPr>
            </w:r>
            <w:r w:rsidR="00061A33">
              <w:rPr>
                <w:noProof/>
                <w:webHidden/>
              </w:rPr>
              <w:fldChar w:fldCharType="separate"/>
            </w:r>
            <w:r w:rsidR="00061A33">
              <w:rPr>
                <w:noProof/>
                <w:webHidden/>
              </w:rPr>
              <w:t>2</w:t>
            </w:r>
            <w:r w:rsidR="00061A33">
              <w:rPr>
                <w:noProof/>
                <w:webHidden/>
              </w:rPr>
              <w:fldChar w:fldCharType="end"/>
            </w:r>
          </w:hyperlink>
        </w:p>
        <w:p w14:paraId="3432CE22" w14:textId="38466B0E" w:rsidR="00061A33" w:rsidRDefault="00061A33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</w:p>
        <w:p w14:paraId="39D59555" w14:textId="590FCE79" w:rsidR="0004448D" w:rsidRDefault="0004448D">
          <w:r>
            <w:rPr>
              <w:b/>
              <w:bCs/>
            </w:rPr>
            <w:fldChar w:fldCharType="end"/>
          </w:r>
        </w:p>
      </w:sdtContent>
    </w:sdt>
    <w:p w14:paraId="4A4215BB" w14:textId="77777777" w:rsidR="00E06D95" w:rsidRDefault="00E06D95"/>
    <w:p w14:paraId="644887E4" w14:textId="77777777" w:rsidR="00E06D95" w:rsidRDefault="00E06D95"/>
    <w:p w14:paraId="4D921151" w14:textId="77777777" w:rsidR="00E06D95" w:rsidRDefault="00E06D95"/>
    <w:p w14:paraId="77AF21F2" w14:textId="77777777" w:rsidR="00E06D95" w:rsidRDefault="00E06D95">
      <w:r>
        <w:br w:type="page"/>
      </w:r>
    </w:p>
    <w:p w14:paraId="14B632BC" w14:textId="77777777" w:rsidR="00E06D95" w:rsidRDefault="00E06D95" w:rsidP="00E06D95">
      <w:pPr>
        <w:pStyle w:val="Nagwek1"/>
      </w:pPr>
      <w:bookmarkStart w:id="0" w:name="_Toc212046380"/>
      <w:r>
        <w:lastRenderedPageBreak/>
        <w:t>Komputer stacjonarny (34 szt.)</w:t>
      </w:r>
      <w:bookmarkEnd w:id="0"/>
    </w:p>
    <w:p w14:paraId="2CC5067A" w14:textId="77777777" w:rsidR="00E06D95" w:rsidRDefault="00736B43" w:rsidP="00736B43">
      <w:pPr>
        <w:ind w:firstLine="708"/>
      </w:pPr>
      <w:r>
        <w:t xml:space="preserve">Komputery będą wykorzystywane w pracowniach szkolnych. Muszą umożliwiać swobodny dostęp do podzespołów. Dokonywanie modyfikacji w sprzęcie nie może powodować utraty gwarancji (z wykluczeniem fizycznego uszkodzenia podzespołu spowodowanego działaniem użytkownika). Komputery muszą być gotowe do pracy z 64-bitowym systemem operacyjnym Windows 11 w wersji </w:t>
      </w:r>
      <w:proofErr w:type="spellStart"/>
      <w:r>
        <w:t>professional</w:t>
      </w:r>
      <w:proofErr w:type="spellEnd"/>
      <w:r>
        <w:t>.</w:t>
      </w:r>
    </w:p>
    <w:p w14:paraId="1D96484B" w14:textId="77777777" w:rsidR="00736B43" w:rsidRDefault="00736B43" w:rsidP="00736B43">
      <w:pPr>
        <w:ind w:firstLine="708"/>
      </w:pPr>
      <w:r>
        <w:t>W skład jednostki centralnej muszą wejść:</w:t>
      </w:r>
    </w:p>
    <w:p w14:paraId="29603426" w14:textId="77777777" w:rsidR="00736B43" w:rsidRDefault="00736B43" w:rsidP="00736B43">
      <w:pPr>
        <w:pStyle w:val="Akapitzlist"/>
        <w:numPr>
          <w:ilvl w:val="0"/>
          <w:numId w:val="1"/>
        </w:numPr>
      </w:pPr>
      <w:r>
        <w:t xml:space="preserve">Procesor – </w:t>
      </w:r>
      <w:r w:rsidRPr="00736B43">
        <w:t>wielordzeniowy</w:t>
      </w:r>
      <w:r>
        <w:t xml:space="preserve"> z zablokowanym mnożnikiem</w:t>
      </w:r>
      <w:r w:rsidRPr="00736B43">
        <w:t xml:space="preserve">, zaprojektowany do pracy w komputerach stacjonarnych klasy x86. Poziom wydajności w </w:t>
      </w:r>
      <w:proofErr w:type="spellStart"/>
      <w:r w:rsidRPr="00736B43">
        <w:t>PerformanceTest</w:t>
      </w:r>
      <w:proofErr w:type="spellEnd"/>
      <w:r w:rsidRPr="00736B43">
        <w:t xml:space="preserve"> w teście CPU Mark nie mniejszy niż 41570 punktów według wyników opublikowanych na </w:t>
      </w:r>
      <w:hyperlink r:id="rId8" w:history="1">
        <w:r w:rsidRPr="00736B43">
          <w:rPr>
            <w:rStyle w:val="Hipercze"/>
          </w:rPr>
          <w:t>http://www.cpubenchmark.net/</w:t>
        </w:r>
      </w:hyperlink>
    </w:p>
    <w:p w14:paraId="6ABD538B" w14:textId="77777777" w:rsidR="001E0C41" w:rsidRDefault="001E0C41" w:rsidP="00736B43">
      <w:pPr>
        <w:pStyle w:val="Akapitzlist"/>
        <w:numPr>
          <w:ilvl w:val="0"/>
          <w:numId w:val="1"/>
        </w:numPr>
      </w:pPr>
      <w:r>
        <w:t xml:space="preserve">Płyta główna – kompatybilna z użytym procesorem, dyskami oraz pamięcią RAM. </w:t>
      </w:r>
    </w:p>
    <w:p w14:paraId="7C3AEF1B" w14:textId="77777777" w:rsidR="00AB5FA2" w:rsidRDefault="00AB5FA2" w:rsidP="00AB5FA2">
      <w:pPr>
        <w:pStyle w:val="Akapitzlist"/>
        <w:numPr>
          <w:ilvl w:val="1"/>
          <w:numId w:val="1"/>
        </w:numPr>
      </w:pPr>
      <w:r>
        <w:t xml:space="preserve">min. 4 </w:t>
      </w:r>
      <w:proofErr w:type="spellStart"/>
      <w:r>
        <w:t>sloty</w:t>
      </w:r>
      <w:proofErr w:type="spellEnd"/>
      <w:r>
        <w:t xml:space="preserve"> pamięci RAM DDR5</w:t>
      </w:r>
    </w:p>
    <w:p w14:paraId="7BF3E96C" w14:textId="77777777" w:rsidR="00AB5FA2" w:rsidRDefault="00AB5FA2" w:rsidP="00AB5FA2">
      <w:pPr>
        <w:pStyle w:val="Akapitzlist"/>
        <w:numPr>
          <w:ilvl w:val="1"/>
          <w:numId w:val="1"/>
        </w:numPr>
      </w:pPr>
      <w:r>
        <w:t xml:space="preserve">obsługująca karty graficzne zintegrowane z procesorami (wyjścia min. 1 x </w:t>
      </w:r>
      <w:proofErr w:type="spellStart"/>
      <w:r>
        <w:t>DisplayPort</w:t>
      </w:r>
      <w:proofErr w:type="spellEnd"/>
      <w:r>
        <w:t>, min. 2 x HDMI)</w:t>
      </w:r>
    </w:p>
    <w:p w14:paraId="574ED5EF" w14:textId="77777777" w:rsidR="00AB5FA2" w:rsidRDefault="00AB5FA2" w:rsidP="00AB5FA2">
      <w:pPr>
        <w:pStyle w:val="Akapitzlist"/>
        <w:numPr>
          <w:ilvl w:val="1"/>
          <w:numId w:val="1"/>
        </w:numPr>
      </w:pPr>
      <w:r>
        <w:t xml:space="preserve">min. 3 x </w:t>
      </w:r>
      <w:proofErr w:type="spellStart"/>
      <w:r>
        <w:t>PCIe</w:t>
      </w:r>
      <w:proofErr w:type="spellEnd"/>
      <w:r>
        <w:t xml:space="preserve"> x 16 (standard 4.0) w tym min. 1 slot ze wsparciem trybu x16</w:t>
      </w:r>
    </w:p>
    <w:p w14:paraId="06721BDA" w14:textId="77777777" w:rsidR="00AB5FA2" w:rsidRDefault="00AB5FA2" w:rsidP="00D0412C">
      <w:pPr>
        <w:pStyle w:val="Akapitzlist"/>
        <w:numPr>
          <w:ilvl w:val="1"/>
          <w:numId w:val="1"/>
        </w:numPr>
      </w:pPr>
      <w:r>
        <w:t xml:space="preserve">możliwość jednoczesnego podłączenia min. 2 dysków </w:t>
      </w:r>
      <w:proofErr w:type="spellStart"/>
      <w:r>
        <w:t>NMVe</w:t>
      </w:r>
      <w:proofErr w:type="spellEnd"/>
      <w:r>
        <w:t xml:space="preserve"> </w:t>
      </w:r>
      <w:r w:rsidR="00D0412C" w:rsidRPr="00D0412C">
        <w:t>(</w:t>
      </w:r>
      <w:proofErr w:type="spellStart"/>
      <w:r w:rsidR="00D0412C" w:rsidRPr="00D0412C">
        <w:t>Key</w:t>
      </w:r>
      <w:proofErr w:type="spellEnd"/>
      <w:r w:rsidR="00D0412C" w:rsidRPr="00D0412C">
        <w:t xml:space="preserve"> M), </w:t>
      </w:r>
      <w:proofErr w:type="spellStart"/>
      <w:r w:rsidR="00D0412C" w:rsidRPr="00D0412C">
        <w:t>type</w:t>
      </w:r>
      <w:proofErr w:type="spellEnd"/>
      <w:r w:rsidR="00D0412C" w:rsidRPr="00D0412C">
        <w:t xml:space="preserve"> 2242/2260/2280 (</w:t>
      </w:r>
      <w:r w:rsidR="00D0412C">
        <w:t>ze wsparciem dla</w:t>
      </w:r>
      <w:r w:rsidR="00D0412C" w:rsidRPr="00D0412C">
        <w:t xml:space="preserve"> </w:t>
      </w:r>
      <w:proofErr w:type="spellStart"/>
      <w:r w:rsidR="00D0412C" w:rsidRPr="00D0412C">
        <w:t>PCIe</w:t>
      </w:r>
      <w:proofErr w:type="spellEnd"/>
      <w:r w:rsidR="00D0412C" w:rsidRPr="00D0412C">
        <w:t xml:space="preserve"> 4.0 x4 </w:t>
      </w:r>
      <w:proofErr w:type="spellStart"/>
      <w:r w:rsidR="00D0412C" w:rsidRPr="00D0412C">
        <w:t>mode</w:t>
      </w:r>
      <w:proofErr w:type="spellEnd"/>
      <w:r w:rsidR="00D0412C" w:rsidRPr="00D0412C">
        <w:t>)</w:t>
      </w:r>
    </w:p>
    <w:p w14:paraId="6D05F1B7" w14:textId="00E88C72" w:rsidR="00D0412C" w:rsidRDefault="00D0412C" w:rsidP="006C0760">
      <w:pPr>
        <w:pStyle w:val="Akapitzlist"/>
        <w:numPr>
          <w:ilvl w:val="1"/>
          <w:numId w:val="1"/>
        </w:numPr>
      </w:pPr>
      <w:r>
        <w:t>min. 4 złącza SATA III</w:t>
      </w:r>
    </w:p>
    <w:p w14:paraId="1816F231" w14:textId="77777777" w:rsidR="00D0412C" w:rsidRDefault="00D0412C" w:rsidP="00D0412C">
      <w:pPr>
        <w:pStyle w:val="Akapitzlist"/>
        <w:numPr>
          <w:ilvl w:val="1"/>
          <w:numId w:val="1"/>
        </w:numPr>
      </w:pPr>
      <w:r>
        <w:t>możliwość podłączenia min 2 dodatkowych portów USB 3.2 typ A (np. panelu frontowego obudowy)</w:t>
      </w:r>
    </w:p>
    <w:p w14:paraId="74609334" w14:textId="2C2F5049" w:rsidR="006C0760" w:rsidRDefault="00D0412C" w:rsidP="006C0760">
      <w:pPr>
        <w:pStyle w:val="Akapitzlist"/>
        <w:numPr>
          <w:ilvl w:val="1"/>
          <w:numId w:val="1"/>
        </w:numPr>
      </w:pPr>
      <w:r>
        <w:t>możliwość podłączenia min. 4 dodatkowych portów USB 2.0 typ A (np. czytnik kart pamięci)</w:t>
      </w:r>
      <w:r w:rsidR="006C0760" w:rsidRPr="006C0760">
        <w:t xml:space="preserve"> </w:t>
      </w:r>
    </w:p>
    <w:p w14:paraId="37FC2F06" w14:textId="77777777" w:rsidR="006C0760" w:rsidRDefault="006C0760" w:rsidP="006C0760">
      <w:pPr>
        <w:pStyle w:val="Akapitzlist"/>
        <w:numPr>
          <w:ilvl w:val="1"/>
          <w:numId w:val="1"/>
        </w:numPr>
      </w:pPr>
      <w:r>
        <w:t>min. 2 x USB 3.2 typ A</w:t>
      </w:r>
    </w:p>
    <w:p w14:paraId="60A4C53B" w14:textId="77777777" w:rsidR="006C0760" w:rsidRDefault="006C0760" w:rsidP="006C0760">
      <w:pPr>
        <w:pStyle w:val="Akapitzlist"/>
        <w:numPr>
          <w:ilvl w:val="1"/>
          <w:numId w:val="1"/>
        </w:numPr>
      </w:pPr>
      <w:r>
        <w:t>min. 4 x USB 2.0 typ A</w:t>
      </w:r>
    </w:p>
    <w:p w14:paraId="43560D41" w14:textId="25BCB19E" w:rsidR="00D0412C" w:rsidRDefault="006C0760" w:rsidP="00D0412C">
      <w:pPr>
        <w:pStyle w:val="Akapitzlist"/>
        <w:numPr>
          <w:ilvl w:val="1"/>
          <w:numId w:val="1"/>
        </w:numPr>
      </w:pPr>
      <w:r>
        <w:t>min. 1 złącze PS/2 do podłączenia myszy lub klawiatury</w:t>
      </w:r>
    </w:p>
    <w:p w14:paraId="57474D14" w14:textId="77777777" w:rsidR="00D0412C" w:rsidRDefault="002A5869" w:rsidP="00D0412C">
      <w:pPr>
        <w:pStyle w:val="Akapitzlist"/>
        <w:numPr>
          <w:ilvl w:val="1"/>
          <w:numId w:val="1"/>
        </w:numPr>
      </w:pPr>
      <w:r>
        <w:t>z</w:t>
      </w:r>
      <w:r w:rsidR="00D0412C">
        <w:t xml:space="preserve">integrowana karta sieciowa </w:t>
      </w:r>
      <w:r>
        <w:t>z wyjściem RJ45 100/1000/2500</w:t>
      </w:r>
    </w:p>
    <w:p w14:paraId="6564E9A1" w14:textId="77777777" w:rsidR="002A5869" w:rsidRDefault="002A5869" w:rsidP="002A5869">
      <w:pPr>
        <w:pStyle w:val="Akapitzlist"/>
        <w:numPr>
          <w:ilvl w:val="1"/>
          <w:numId w:val="1"/>
        </w:numPr>
      </w:pPr>
      <w:r>
        <w:t xml:space="preserve">zintegrowana karta </w:t>
      </w:r>
      <w:proofErr w:type="spellStart"/>
      <w:r>
        <w:t>WiFi</w:t>
      </w:r>
      <w:proofErr w:type="spellEnd"/>
      <w:r>
        <w:t xml:space="preserve"> min. </w:t>
      </w:r>
      <w:r w:rsidRPr="002A5869">
        <w:t>6 (802.11 a/b/g/n/</w:t>
      </w:r>
      <w:proofErr w:type="spellStart"/>
      <w:r w:rsidRPr="002A5869">
        <w:t>ac</w:t>
      </w:r>
      <w:proofErr w:type="spellEnd"/>
      <w:r w:rsidRPr="002A5869">
        <w:t>/</w:t>
      </w:r>
      <w:proofErr w:type="spellStart"/>
      <w:r w:rsidRPr="002A5869">
        <w:t>ax</w:t>
      </w:r>
      <w:proofErr w:type="spellEnd"/>
      <w:r w:rsidRPr="002A5869">
        <w:t>)</w:t>
      </w:r>
    </w:p>
    <w:p w14:paraId="6B63BEDF" w14:textId="77777777" w:rsidR="002A5869" w:rsidRDefault="002A5869" w:rsidP="002A5869">
      <w:pPr>
        <w:pStyle w:val="Akapitzlist"/>
        <w:numPr>
          <w:ilvl w:val="1"/>
          <w:numId w:val="1"/>
        </w:numPr>
      </w:pPr>
      <w:r>
        <w:t>zintegrowany moduł Bluetooth w standardzie min. 5.2</w:t>
      </w:r>
    </w:p>
    <w:p w14:paraId="6C9E54BD" w14:textId="77777777" w:rsidR="002A5869" w:rsidRDefault="002A5869" w:rsidP="002A5869">
      <w:pPr>
        <w:pStyle w:val="Akapitzlist"/>
        <w:numPr>
          <w:ilvl w:val="1"/>
          <w:numId w:val="1"/>
        </w:numPr>
      </w:pPr>
      <w:r>
        <w:t>zintegrowana karta dźwiękowa</w:t>
      </w:r>
    </w:p>
    <w:p w14:paraId="1125CDE0" w14:textId="77777777" w:rsidR="002A5869" w:rsidRDefault="00C43C96" w:rsidP="002A5869">
      <w:pPr>
        <w:pStyle w:val="Akapitzlist"/>
        <w:numPr>
          <w:ilvl w:val="1"/>
          <w:numId w:val="1"/>
        </w:numPr>
      </w:pPr>
      <w:r>
        <w:t>o</w:t>
      </w:r>
      <w:r w:rsidR="002A5869">
        <w:t>bsługa RAID min 0/1/5/10</w:t>
      </w:r>
    </w:p>
    <w:p w14:paraId="7257BD8C" w14:textId="77777777" w:rsidR="002A5869" w:rsidRDefault="00C43C96" w:rsidP="002A5869">
      <w:pPr>
        <w:pStyle w:val="Akapitzlist"/>
        <w:numPr>
          <w:ilvl w:val="1"/>
          <w:numId w:val="1"/>
        </w:numPr>
      </w:pPr>
      <w:r>
        <w:t>o</w:t>
      </w:r>
      <w:r w:rsidR="002A5869">
        <w:t>bsługa TMP 2.0</w:t>
      </w:r>
    </w:p>
    <w:p w14:paraId="2B0FA663" w14:textId="77777777" w:rsidR="005B00F0" w:rsidRDefault="00C43C96" w:rsidP="002A5869">
      <w:pPr>
        <w:pStyle w:val="Akapitzlist"/>
        <w:numPr>
          <w:ilvl w:val="1"/>
          <w:numId w:val="1"/>
        </w:numPr>
      </w:pPr>
      <w:r>
        <w:t xml:space="preserve">wewnętrzne </w:t>
      </w:r>
      <w:proofErr w:type="spellStart"/>
      <w:r>
        <w:t>złócze</w:t>
      </w:r>
      <w:proofErr w:type="spellEnd"/>
      <w:r>
        <w:t xml:space="preserve"> pozwalające na podłączenie portu COM</w:t>
      </w:r>
    </w:p>
    <w:p w14:paraId="126EE7A1" w14:textId="77777777" w:rsidR="00C43C96" w:rsidRDefault="00C43C96" w:rsidP="00C43C96">
      <w:pPr>
        <w:pStyle w:val="Akapitzlist"/>
        <w:numPr>
          <w:ilvl w:val="1"/>
          <w:numId w:val="1"/>
        </w:numPr>
      </w:pPr>
      <w:r>
        <w:t>min. 1 złącze ARGB</w:t>
      </w:r>
    </w:p>
    <w:p w14:paraId="43B8BFCA" w14:textId="77777777" w:rsidR="00736B43" w:rsidRDefault="00736B43" w:rsidP="00736B43">
      <w:pPr>
        <w:pStyle w:val="Akapitzlist"/>
        <w:numPr>
          <w:ilvl w:val="0"/>
          <w:numId w:val="1"/>
        </w:numPr>
      </w:pPr>
      <w:r>
        <w:t xml:space="preserve">Pamięć operacyjna RAM – </w:t>
      </w:r>
      <w:r w:rsidR="001E0C41">
        <w:t xml:space="preserve">min. </w:t>
      </w:r>
      <w:r w:rsidRPr="00736B43">
        <w:t>DDR5-6000 (PC5-48000)</w:t>
      </w:r>
      <w:r>
        <w:t xml:space="preserve"> min. 64GB</w:t>
      </w:r>
      <w:r w:rsidR="001E0C41">
        <w:t xml:space="preserve"> (w max. 2 kościach)</w:t>
      </w:r>
      <w:r>
        <w:t xml:space="preserve"> kompatybilna z płytą główną i dobrze współpracująca z procesorem</w:t>
      </w:r>
    </w:p>
    <w:p w14:paraId="21A279FB" w14:textId="77777777" w:rsidR="00736B43" w:rsidRDefault="00736B43" w:rsidP="00736B43">
      <w:pPr>
        <w:pStyle w:val="Akapitzlist"/>
        <w:numPr>
          <w:ilvl w:val="0"/>
          <w:numId w:val="1"/>
        </w:numPr>
      </w:pPr>
      <w:r>
        <w:t>Dysk twardy – dwa dyski twarde</w:t>
      </w:r>
    </w:p>
    <w:p w14:paraId="712E649A" w14:textId="77777777" w:rsidR="00736B43" w:rsidRDefault="00736B43" w:rsidP="00736B43">
      <w:pPr>
        <w:pStyle w:val="Akapitzlist"/>
        <w:numPr>
          <w:ilvl w:val="1"/>
          <w:numId w:val="1"/>
        </w:numPr>
      </w:pPr>
      <w:r>
        <w:t xml:space="preserve">1 </w:t>
      </w:r>
      <w:r w:rsidR="001E0C41">
        <w:t xml:space="preserve">x M.2 min. </w:t>
      </w:r>
      <w:proofErr w:type="spellStart"/>
      <w:r w:rsidR="001E0C41">
        <w:t>PCIe</w:t>
      </w:r>
      <w:proofErr w:type="spellEnd"/>
      <w:r w:rsidR="001E0C41">
        <w:t xml:space="preserve"> 4.0, min. 2TB pojemności</w:t>
      </w:r>
    </w:p>
    <w:p w14:paraId="1BD660A8" w14:textId="77777777" w:rsidR="001E0C41" w:rsidRDefault="001E0C41" w:rsidP="00736B43">
      <w:pPr>
        <w:pStyle w:val="Akapitzlist"/>
        <w:numPr>
          <w:ilvl w:val="1"/>
          <w:numId w:val="1"/>
        </w:numPr>
      </w:pPr>
      <w:r>
        <w:t>1 x SDD SATA3 min. 4TB pojemności</w:t>
      </w:r>
    </w:p>
    <w:p w14:paraId="0A46D87D" w14:textId="77777777" w:rsidR="001E0C41" w:rsidRDefault="001E0C41" w:rsidP="001E0C41">
      <w:pPr>
        <w:pStyle w:val="Akapitzlist"/>
        <w:numPr>
          <w:ilvl w:val="0"/>
          <w:numId w:val="1"/>
        </w:numPr>
      </w:pPr>
      <w:r>
        <w:t>Przewód łączący dysk SSD z płytą główną</w:t>
      </w:r>
    </w:p>
    <w:p w14:paraId="5AEBE383" w14:textId="77777777" w:rsidR="001E0C41" w:rsidRDefault="001E0C41" w:rsidP="001E0C41">
      <w:pPr>
        <w:pStyle w:val="Akapitzlist"/>
        <w:numPr>
          <w:ilvl w:val="0"/>
          <w:numId w:val="1"/>
        </w:numPr>
      </w:pPr>
      <w:r>
        <w:t>Karta graficzna – d</w:t>
      </w:r>
      <w:r w:rsidRPr="001E0C41">
        <w:t>edykowana</w:t>
      </w:r>
      <w:r>
        <w:t>.</w:t>
      </w:r>
      <w:r w:rsidRPr="001E0C41">
        <w:t xml:space="preserve"> P</w:t>
      </w:r>
      <w:r>
        <w:t xml:space="preserve">osiadająca min. </w:t>
      </w:r>
      <w:r w:rsidRPr="001E0C41">
        <w:t xml:space="preserve">12 GB </w:t>
      </w:r>
      <w:r>
        <w:t>p</w:t>
      </w:r>
      <w:r w:rsidRPr="001E0C41">
        <w:t xml:space="preserve">amięci własnej o poziomie wydajności w </w:t>
      </w:r>
      <w:proofErr w:type="spellStart"/>
      <w:r w:rsidRPr="001E0C41">
        <w:t>Average</w:t>
      </w:r>
      <w:proofErr w:type="spellEnd"/>
      <w:r w:rsidRPr="001E0C41">
        <w:t xml:space="preserve"> G3D Mark w teście GPU Mark nie mniejszy niż 29039 punktów według wyników opublikowanych na stornie: </w:t>
      </w:r>
      <w:hyperlink r:id="rId9" w:history="1">
        <w:r w:rsidRPr="001E0C41">
          <w:rPr>
            <w:rStyle w:val="Hipercze"/>
          </w:rPr>
          <w:t>http://www.videocardbenchmark.net/</w:t>
        </w:r>
      </w:hyperlink>
      <w:r>
        <w:br/>
        <w:t>Wymagane złącza karty graficznej:</w:t>
      </w:r>
    </w:p>
    <w:p w14:paraId="268409F5" w14:textId="77777777" w:rsidR="001E0C41" w:rsidRDefault="001E0C41" w:rsidP="001E0C41">
      <w:pPr>
        <w:pStyle w:val="Akapitzlist"/>
        <w:numPr>
          <w:ilvl w:val="1"/>
          <w:numId w:val="1"/>
        </w:numPr>
      </w:pPr>
      <w:r>
        <w:t>min. 1 x HDMI</w:t>
      </w:r>
    </w:p>
    <w:p w14:paraId="327ECF07" w14:textId="77777777" w:rsidR="001E0C41" w:rsidRDefault="001E0C41" w:rsidP="001E0C41">
      <w:pPr>
        <w:pStyle w:val="Akapitzlist"/>
        <w:numPr>
          <w:ilvl w:val="1"/>
          <w:numId w:val="1"/>
        </w:numPr>
      </w:pPr>
      <w:r>
        <w:lastRenderedPageBreak/>
        <w:t xml:space="preserve">min. 3 x </w:t>
      </w:r>
      <w:proofErr w:type="spellStart"/>
      <w:r>
        <w:t>DisplayPort</w:t>
      </w:r>
      <w:proofErr w:type="spellEnd"/>
    </w:p>
    <w:p w14:paraId="45D8FCE9" w14:textId="4B4BDD54" w:rsidR="001E0C41" w:rsidRDefault="005B00F0" w:rsidP="001E0C41">
      <w:pPr>
        <w:pStyle w:val="Akapitzlist"/>
        <w:numPr>
          <w:ilvl w:val="0"/>
          <w:numId w:val="1"/>
        </w:numPr>
      </w:pPr>
      <w:r>
        <w:t>Obudowa z oknem</w:t>
      </w:r>
      <w:r w:rsidR="00BD59C6">
        <w:t xml:space="preserve"> (ze szkła hartowanego)</w:t>
      </w:r>
      <w:r>
        <w:t xml:space="preserve"> typu TOWER umożliwiająca zamontowanie wewnątrz wszystkich niezbędnych elementów jednostki centralnej.</w:t>
      </w:r>
    </w:p>
    <w:p w14:paraId="306B476B" w14:textId="77777777" w:rsidR="005B00F0" w:rsidRDefault="005B00F0" w:rsidP="005B00F0">
      <w:pPr>
        <w:pStyle w:val="Akapitzlist"/>
        <w:numPr>
          <w:ilvl w:val="1"/>
          <w:numId w:val="1"/>
        </w:numPr>
      </w:pPr>
      <w:r>
        <w:t>min. Midi Tower</w:t>
      </w:r>
    </w:p>
    <w:p w14:paraId="1E9FA65F" w14:textId="77777777" w:rsidR="005B00F0" w:rsidRDefault="005B00F0" w:rsidP="005B00F0">
      <w:pPr>
        <w:pStyle w:val="Akapitzlist"/>
        <w:numPr>
          <w:ilvl w:val="1"/>
          <w:numId w:val="1"/>
        </w:numPr>
      </w:pPr>
      <w:r>
        <w:t>min. 2 porty USB (min. 3.0) podłączone do wyprowadzeń płyty głównej</w:t>
      </w:r>
    </w:p>
    <w:p w14:paraId="6DBE3D76" w14:textId="77777777" w:rsidR="005B00F0" w:rsidRDefault="005B00F0" w:rsidP="005B00F0">
      <w:pPr>
        <w:pStyle w:val="Akapitzlist"/>
        <w:numPr>
          <w:ilvl w:val="1"/>
          <w:numId w:val="1"/>
        </w:numPr>
      </w:pPr>
      <w:r>
        <w:t>min. 2 wnęki wewnętrzne 2,5’’ umożliwiające montaż dysków twardych</w:t>
      </w:r>
    </w:p>
    <w:p w14:paraId="3648C57D" w14:textId="77777777" w:rsidR="005B00F0" w:rsidRDefault="005B00F0" w:rsidP="005B00F0">
      <w:pPr>
        <w:pStyle w:val="Akapitzlist"/>
        <w:numPr>
          <w:ilvl w:val="1"/>
          <w:numId w:val="1"/>
        </w:numPr>
      </w:pPr>
      <w:r>
        <w:t>min 1 wnęka wewnętrzna 3,5’’ umożliwiająca montaż dysku twardego</w:t>
      </w:r>
    </w:p>
    <w:p w14:paraId="20CD1C5C" w14:textId="77777777" w:rsidR="005B00F0" w:rsidRDefault="005B00F0" w:rsidP="005B00F0">
      <w:pPr>
        <w:pStyle w:val="Akapitzlist"/>
        <w:numPr>
          <w:ilvl w:val="1"/>
          <w:numId w:val="1"/>
        </w:numPr>
      </w:pPr>
      <w:r>
        <w:t>osobna komora za zasilacz</w:t>
      </w:r>
    </w:p>
    <w:p w14:paraId="77C5C7FD" w14:textId="77777777" w:rsidR="005B00F0" w:rsidRDefault="005B00F0" w:rsidP="005B00F0">
      <w:pPr>
        <w:pStyle w:val="Akapitzlist"/>
        <w:numPr>
          <w:ilvl w:val="1"/>
          <w:numId w:val="1"/>
        </w:numPr>
      </w:pPr>
      <w:r>
        <w:t>umożliwiająca montaż karty graficznej o długości min. 31,5 cm</w:t>
      </w:r>
      <w:r w:rsidR="00C43C96">
        <w:t xml:space="preserve"> o standardowym wysokim profilu</w:t>
      </w:r>
    </w:p>
    <w:p w14:paraId="79963B8E" w14:textId="77777777" w:rsidR="005B00F0" w:rsidRDefault="005B00F0" w:rsidP="005B00F0">
      <w:pPr>
        <w:pStyle w:val="Akapitzlist"/>
        <w:numPr>
          <w:ilvl w:val="1"/>
          <w:numId w:val="1"/>
        </w:numPr>
      </w:pPr>
      <w:r>
        <w:t>podświetlenie ARGB</w:t>
      </w:r>
    </w:p>
    <w:p w14:paraId="1377A02A" w14:textId="77777777" w:rsidR="00C43C96" w:rsidRDefault="00C43C96" w:rsidP="005B00F0">
      <w:pPr>
        <w:pStyle w:val="Akapitzlist"/>
        <w:numPr>
          <w:ilvl w:val="1"/>
          <w:numId w:val="1"/>
        </w:numPr>
      </w:pPr>
      <w:r>
        <w:t>zamontowane min. 4 wentylatory (3 x panel frontowy, 1 x panel tylny)</w:t>
      </w:r>
    </w:p>
    <w:p w14:paraId="6F481C2F" w14:textId="77777777" w:rsidR="00C43C96" w:rsidRDefault="00C43C96" w:rsidP="005B00F0">
      <w:pPr>
        <w:pStyle w:val="Akapitzlist"/>
        <w:numPr>
          <w:ilvl w:val="1"/>
          <w:numId w:val="1"/>
        </w:numPr>
      </w:pPr>
      <w:r>
        <w:t>złącza audio panelu frontowego (1 x słuchawki + 1 x mikrofon)</w:t>
      </w:r>
    </w:p>
    <w:p w14:paraId="3C6E285E" w14:textId="77777777" w:rsidR="00C43C96" w:rsidRDefault="00C43C96" w:rsidP="005B00F0">
      <w:pPr>
        <w:pStyle w:val="Akapitzlist"/>
        <w:numPr>
          <w:ilvl w:val="1"/>
          <w:numId w:val="1"/>
        </w:numPr>
      </w:pPr>
      <w:r>
        <w:t>przyciski zasilania i resetu</w:t>
      </w:r>
    </w:p>
    <w:p w14:paraId="690F6A33" w14:textId="77777777" w:rsidR="00C43C96" w:rsidRDefault="00C43C96" w:rsidP="005B00F0">
      <w:pPr>
        <w:pStyle w:val="Akapitzlist"/>
        <w:numPr>
          <w:ilvl w:val="1"/>
          <w:numId w:val="1"/>
        </w:numPr>
      </w:pPr>
      <w:r>
        <w:t>oznaczona nazwą producenta</w:t>
      </w:r>
      <w:r w:rsidR="00FC2D1C">
        <w:t xml:space="preserve"> oraz</w:t>
      </w:r>
      <w:r>
        <w:t xml:space="preserve"> nazwą komputera </w:t>
      </w:r>
      <w:r w:rsidR="00FC2D1C">
        <w:t>i</w:t>
      </w:r>
      <w:r>
        <w:t xml:space="preserve"> numerem seryjnym</w:t>
      </w:r>
    </w:p>
    <w:p w14:paraId="0F6A0E62" w14:textId="51E9F603" w:rsidR="005B00F0" w:rsidRDefault="00C43C96" w:rsidP="001E0C41">
      <w:pPr>
        <w:pStyle w:val="Akapitzlist"/>
        <w:numPr>
          <w:ilvl w:val="0"/>
          <w:numId w:val="1"/>
        </w:numPr>
      </w:pPr>
      <w:r>
        <w:t>Zasilacz – min. 750W o sprawności min. 85%</w:t>
      </w:r>
      <w:r w:rsidR="00E11826">
        <w:t xml:space="preserve"> z przewodem zasilającym o długości min. 1,5m i z polską wtyczką</w:t>
      </w:r>
      <w:r w:rsidR="00B75B24">
        <w:t>, z zasilaniem procesora, płyty głównej oraz karty graficznej dopasowanym do podzespołów w sposób gwarantujący ich pełne wykorzystanie (czyli np. jeśli zasilanie procesora wymaga wtyczki 4</w:t>
      </w:r>
      <w:r w:rsidR="00523E5A">
        <w:t>p</w:t>
      </w:r>
      <w:r w:rsidR="00B75B24">
        <w:t>+4</w:t>
      </w:r>
      <w:r w:rsidR="00523E5A">
        <w:t>p</w:t>
      </w:r>
      <w:r w:rsidR="00B75B24">
        <w:t xml:space="preserve"> to nie dopuszcza się użycia wtyczki 4</w:t>
      </w:r>
      <w:r w:rsidR="00523E5A">
        <w:t>p)</w:t>
      </w:r>
      <w:r w:rsidR="00B75B24">
        <w:t>.</w:t>
      </w:r>
    </w:p>
    <w:p w14:paraId="72B66FA2" w14:textId="08F9F098" w:rsidR="00736B43" w:rsidRDefault="00FC2D1C" w:rsidP="00354C77">
      <w:pPr>
        <w:pStyle w:val="Akapitzlist"/>
        <w:numPr>
          <w:ilvl w:val="0"/>
          <w:numId w:val="1"/>
        </w:numPr>
      </w:pPr>
      <w:r>
        <w:t>System operacyjny – preinstalowany</w:t>
      </w:r>
      <w:r w:rsidR="00BD59C6">
        <w:t xml:space="preserve"> i gotowy do aktywacji (z dołączonym kluczem licencyjnym oraz wszelkimi wymaganymi elementami potwierdzającymi jego legalność)</w:t>
      </w:r>
      <w:r>
        <w:t xml:space="preserve"> na dysku </w:t>
      </w:r>
      <w:proofErr w:type="spellStart"/>
      <w:r>
        <w:t>NMVe</w:t>
      </w:r>
      <w:proofErr w:type="spellEnd"/>
      <w:r>
        <w:t xml:space="preserve"> Windows 11 64bit w wersji min. Professional </w:t>
      </w:r>
      <w:r w:rsidR="0051021B">
        <w:t xml:space="preserve">(wymagany do poprawnego działania wykorzystywanych podczas zajęć aplikacji oraz wspierający pracę w środowisku domenowym) z pełną obsługą w języku polskim. </w:t>
      </w:r>
      <w:r w:rsidR="00BD59C6">
        <w:t>Komputer musi mieć możliwość przywrócenia systemu operacyjnego do stanu deweloperskiego (czyli jeszcze przed założeniem konta użytkownika) bez użycia dodatkowych nośników.</w:t>
      </w:r>
    </w:p>
    <w:p w14:paraId="5BE5963B" w14:textId="430A914B" w:rsidR="0051021B" w:rsidRDefault="0051021B" w:rsidP="0051021B">
      <w:pPr>
        <w:pStyle w:val="Akapitzlist"/>
        <w:numPr>
          <w:ilvl w:val="0"/>
          <w:numId w:val="1"/>
        </w:numPr>
      </w:pPr>
      <w:r>
        <w:t>Certyfikaty - w</w:t>
      </w:r>
      <w:r w:rsidRPr="0051021B">
        <w:t>ykonawca zobowiązuje się dostarczyć wraz ze sprzętem komputerowym Certyfikaty (ISO 9001 oraz ISO 14001), deklaracje zgodności CE, instrukcje obsługi, karty gwarancyjne oraz certyfikaty/licencje i klucze dostępu do oprogramowania (tj. systemu operacyjnego).</w:t>
      </w:r>
    </w:p>
    <w:p w14:paraId="0774D10D" w14:textId="0FA32D51" w:rsidR="0051021B" w:rsidRDefault="00BD59C6" w:rsidP="0051021B">
      <w:pPr>
        <w:pStyle w:val="Akapitzlist"/>
        <w:numPr>
          <w:ilvl w:val="0"/>
          <w:numId w:val="1"/>
        </w:numPr>
      </w:pPr>
      <w:r>
        <w:t>Gwarancja na zestaw – min. 2 lata liczone od dnia potwierdzenia, że dostarczony sprzęt działa prawidłowo (nie później niż 14 dnia od daty dostawy).</w:t>
      </w:r>
    </w:p>
    <w:sectPr w:rsidR="0051021B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AE24A6" w14:textId="77777777" w:rsidR="003713E8" w:rsidRDefault="003713E8" w:rsidP="00E06D95">
      <w:pPr>
        <w:spacing w:after="0" w:line="240" w:lineRule="auto"/>
      </w:pPr>
      <w:r>
        <w:separator/>
      </w:r>
    </w:p>
  </w:endnote>
  <w:endnote w:type="continuationSeparator" w:id="0">
    <w:p w14:paraId="7EA6B8B0" w14:textId="77777777" w:rsidR="003713E8" w:rsidRDefault="003713E8" w:rsidP="00E06D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8A0D08" w14:textId="77777777" w:rsidR="003713E8" w:rsidRDefault="003713E8" w:rsidP="00E06D95">
      <w:pPr>
        <w:spacing w:after="0" w:line="240" w:lineRule="auto"/>
      </w:pPr>
      <w:r>
        <w:separator/>
      </w:r>
    </w:p>
  </w:footnote>
  <w:footnote w:type="continuationSeparator" w:id="0">
    <w:p w14:paraId="4DEEA0B1" w14:textId="77777777" w:rsidR="003713E8" w:rsidRDefault="003713E8" w:rsidP="00E06D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BF40A6" w14:textId="57ECC157" w:rsidR="00211DD0" w:rsidRDefault="00211DD0">
    <w:pPr>
      <w:pStyle w:val="Nagwek"/>
    </w:pPr>
    <w:r>
      <w:rPr>
        <w:noProof/>
      </w:rPr>
      <w:drawing>
        <wp:inline distT="0" distB="0" distL="0" distR="0" wp14:anchorId="30C21906" wp14:editId="7CCB3BB9">
          <wp:extent cx="5760720" cy="581660"/>
          <wp:effectExtent l="0" t="0" r="0" b="8890"/>
          <wp:docPr id="1925763555" name="Obraz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5763555" name="Obraz 36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1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339F9"/>
    <w:multiLevelType w:val="hybridMultilevel"/>
    <w:tmpl w:val="A9C2F8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654555"/>
    <w:multiLevelType w:val="hybridMultilevel"/>
    <w:tmpl w:val="03927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757AB6"/>
    <w:multiLevelType w:val="hybridMultilevel"/>
    <w:tmpl w:val="EBB8A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8E12FD"/>
    <w:multiLevelType w:val="hybridMultilevel"/>
    <w:tmpl w:val="3162D8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6E5EE6"/>
    <w:multiLevelType w:val="hybridMultilevel"/>
    <w:tmpl w:val="F68AA9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206A4E"/>
    <w:multiLevelType w:val="hybridMultilevel"/>
    <w:tmpl w:val="F89AED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0236B8"/>
    <w:multiLevelType w:val="hybridMultilevel"/>
    <w:tmpl w:val="D6DC3D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58100C"/>
    <w:multiLevelType w:val="hybridMultilevel"/>
    <w:tmpl w:val="8D02FF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1B6C9E"/>
    <w:multiLevelType w:val="hybridMultilevel"/>
    <w:tmpl w:val="72F6D7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9E65EE"/>
    <w:multiLevelType w:val="hybridMultilevel"/>
    <w:tmpl w:val="3A3210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850E46"/>
    <w:multiLevelType w:val="hybridMultilevel"/>
    <w:tmpl w:val="A12CC4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DF174C"/>
    <w:multiLevelType w:val="hybridMultilevel"/>
    <w:tmpl w:val="0CAA29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AB334F"/>
    <w:multiLevelType w:val="hybridMultilevel"/>
    <w:tmpl w:val="4B1029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144876"/>
    <w:multiLevelType w:val="hybridMultilevel"/>
    <w:tmpl w:val="107A8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4905C5"/>
    <w:multiLevelType w:val="hybridMultilevel"/>
    <w:tmpl w:val="FE0A93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4B57C2"/>
    <w:multiLevelType w:val="hybridMultilevel"/>
    <w:tmpl w:val="DA7ED5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91979"/>
    <w:multiLevelType w:val="hybridMultilevel"/>
    <w:tmpl w:val="BE485C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E138FB"/>
    <w:multiLevelType w:val="hybridMultilevel"/>
    <w:tmpl w:val="66EAAF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110A48"/>
    <w:multiLevelType w:val="hybridMultilevel"/>
    <w:tmpl w:val="1F4C27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026CD8"/>
    <w:multiLevelType w:val="hybridMultilevel"/>
    <w:tmpl w:val="CE0674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7C3309"/>
    <w:multiLevelType w:val="hybridMultilevel"/>
    <w:tmpl w:val="376224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6102629">
    <w:abstractNumId w:val="1"/>
  </w:num>
  <w:num w:numId="2" w16cid:durableId="634608505">
    <w:abstractNumId w:val="7"/>
  </w:num>
  <w:num w:numId="3" w16cid:durableId="1339843037">
    <w:abstractNumId w:val="15"/>
  </w:num>
  <w:num w:numId="4" w16cid:durableId="139612670">
    <w:abstractNumId w:val="17"/>
  </w:num>
  <w:num w:numId="5" w16cid:durableId="1791779824">
    <w:abstractNumId w:val="18"/>
  </w:num>
  <w:num w:numId="6" w16cid:durableId="776633372">
    <w:abstractNumId w:val="3"/>
  </w:num>
  <w:num w:numId="7" w16cid:durableId="97532979">
    <w:abstractNumId w:val="8"/>
  </w:num>
  <w:num w:numId="8" w16cid:durableId="1094327483">
    <w:abstractNumId w:val="5"/>
  </w:num>
  <w:num w:numId="9" w16cid:durableId="921377113">
    <w:abstractNumId w:val="0"/>
  </w:num>
  <w:num w:numId="10" w16cid:durableId="1074429177">
    <w:abstractNumId w:val="16"/>
  </w:num>
  <w:num w:numId="11" w16cid:durableId="544365165">
    <w:abstractNumId w:val="20"/>
  </w:num>
  <w:num w:numId="12" w16cid:durableId="102068585">
    <w:abstractNumId w:val="9"/>
  </w:num>
  <w:num w:numId="13" w16cid:durableId="1765564687">
    <w:abstractNumId w:val="12"/>
  </w:num>
  <w:num w:numId="14" w16cid:durableId="475026620">
    <w:abstractNumId w:val="10"/>
  </w:num>
  <w:num w:numId="15" w16cid:durableId="783302687">
    <w:abstractNumId w:val="4"/>
  </w:num>
  <w:num w:numId="16" w16cid:durableId="1563326954">
    <w:abstractNumId w:val="11"/>
  </w:num>
  <w:num w:numId="17" w16cid:durableId="234903305">
    <w:abstractNumId w:val="13"/>
  </w:num>
  <w:num w:numId="18" w16cid:durableId="35860132">
    <w:abstractNumId w:val="19"/>
  </w:num>
  <w:num w:numId="19" w16cid:durableId="1653674731">
    <w:abstractNumId w:val="6"/>
  </w:num>
  <w:num w:numId="20" w16cid:durableId="960381203">
    <w:abstractNumId w:val="14"/>
  </w:num>
  <w:num w:numId="21" w16cid:durableId="17547395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AB6"/>
    <w:rsid w:val="00027649"/>
    <w:rsid w:val="00027F0C"/>
    <w:rsid w:val="0004448D"/>
    <w:rsid w:val="00057200"/>
    <w:rsid w:val="00061A33"/>
    <w:rsid w:val="00104743"/>
    <w:rsid w:val="00135A33"/>
    <w:rsid w:val="001B60A4"/>
    <w:rsid w:val="001E0C41"/>
    <w:rsid w:val="00211DD0"/>
    <w:rsid w:val="00226CA7"/>
    <w:rsid w:val="00256E2A"/>
    <w:rsid w:val="002A5869"/>
    <w:rsid w:val="002B54DE"/>
    <w:rsid w:val="00326C37"/>
    <w:rsid w:val="00346E0F"/>
    <w:rsid w:val="00354C77"/>
    <w:rsid w:val="003573BF"/>
    <w:rsid w:val="00370611"/>
    <w:rsid w:val="003713E8"/>
    <w:rsid w:val="00400072"/>
    <w:rsid w:val="0043285C"/>
    <w:rsid w:val="004516D5"/>
    <w:rsid w:val="00466EA1"/>
    <w:rsid w:val="00505642"/>
    <w:rsid w:val="0051021B"/>
    <w:rsid w:val="00523E5A"/>
    <w:rsid w:val="00527664"/>
    <w:rsid w:val="005B00F0"/>
    <w:rsid w:val="005C0E59"/>
    <w:rsid w:val="005C3AB6"/>
    <w:rsid w:val="005F680E"/>
    <w:rsid w:val="006C0760"/>
    <w:rsid w:val="00710688"/>
    <w:rsid w:val="00724E33"/>
    <w:rsid w:val="00736B43"/>
    <w:rsid w:val="00794936"/>
    <w:rsid w:val="007C7DD7"/>
    <w:rsid w:val="00805138"/>
    <w:rsid w:val="00826EC1"/>
    <w:rsid w:val="00851AA3"/>
    <w:rsid w:val="008B3519"/>
    <w:rsid w:val="008C1B54"/>
    <w:rsid w:val="0092499F"/>
    <w:rsid w:val="009751F2"/>
    <w:rsid w:val="00A47288"/>
    <w:rsid w:val="00A92720"/>
    <w:rsid w:val="00AB421B"/>
    <w:rsid w:val="00AB5FA2"/>
    <w:rsid w:val="00AF1C04"/>
    <w:rsid w:val="00B23A06"/>
    <w:rsid w:val="00B44DA2"/>
    <w:rsid w:val="00B502E5"/>
    <w:rsid w:val="00B7345A"/>
    <w:rsid w:val="00B75B24"/>
    <w:rsid w:val="00B9404E"/>
    <w:rsid w:val="00BC515B"/>
    <w:rsid w:val="00BD59C6"/>
    <w:rsid w:val="00BE2E02"/>
    <w:rsid w:val="00C36455"/>
    <w:rsid w:val="00C43C96"/>
    <w:rsid w:val="00C56A4A"/>
    <w:rsid w:val="00CA7C29"/>
    <w:rsid w:val="00CB148D"/>
    <w:rsid w:val="00CE70D6"/>
    <w:rsid w:val="00CF1CC1"/>
    <w:rsid w:val="00D0412C"/>
    <w:rsid w:val="00D40277"/>
    <w:rsid w:val="00D575EA"/>
    <w:rsid w:val="00D967E4"/>
    <w:rsid w:val="00DE742A"/>
    <w:rsid w:val="00E06D95"/>
    <w:rsid w:val="00E11826"/>
    <w:rsid w:val="00E229CC"/>
    <w:rsid w:val="00EA50C4"/>
    <w:rsid w:val="00EF0EFD"/>
    <w:rsid w:val="00F50761"/>
    <w:rsid w:val="00F52FE5"/>
    <w:rsid w:val="00F91672"/>
    <w:rsid w:val="00F9214D"/>
    <w:rsid w:val="00FC2D1C"/>
    <w:rsid w:val="00FD1EB1"/>
    <w:rsid w:val="00FF3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298DD"/>
  <w15:chartTrackingRefBased/>
  <w15:docId w15:val="{2CC7F71A-87BD-4935-A78C-80EE58AB0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06D9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C515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6D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6D95"/>
  </w:style>
  <w:style w:type="paragraph" w:styleId="Stopka">
    <w:name w:val="footer"/>
    <w:basedOn w:val="Normalny"/>
    <w:link w:val="StopkaZnak"/>
    <w:uiPriority w:val="99"/>
    <w:unhideWhenUsed/>
    <w:rsid w:val="00E06D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6D95"/>
  </w:style>
  <w:style w:type="character" w:customStyle="1" w:styleId="Nagwek1Znak">
    <w:name w:val="Nagłówek 1 Znak"/>
    <w:basedOn w:val="Domylnaczcionkaakapitu"/>
    <w:link w:val="Nagwek1"/>
    <w:uiPriority w:val="9"/>
    <w:rsid w:val="00E06D9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736B4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36B43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A58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586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586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58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586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58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5869"/>
    <w:rPr>
      <w:rFonts w:ascii="Segoe UI" w:hAnsi="Segoe UI" w:cs="Segoe UI"/>
      <w:sz w:val="18"/>
      <w:szCs w:val="1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4448D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04448D"/>
    <w:pPr>
      <w:spacing w:after="100"/>
    </w:pPr>
  </w:style>
  <w:style w:type="character" w:customStyle="1" w:styleId="Nagwek2Znak">
    <w:name w:val="Nagłówek 2 Znak"/>
    <w:basedOn w:val="Domylnaczcionkaakapitu"/>
    <w:link w:val="Nagwek2"/>
    <w:uiPriority w:val="9"/>
    <w:rsid w:val="00BC515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Spistreci2">
    <w:name w:val="toc 2"/>
    <w:basedOn w:val="Normalny"/>
    <w:next w:val="Normalny"/>
    <w:autoRedefine/>
    <w:uiPriority w:val="39"/>
    <w:unhideWhenUsed/>
    <w:rsid w:val="00724E33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43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61942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2535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321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73380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4867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96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8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pubenchmark.net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videocardbenchmark.ne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643F91-2AA8-4424-8996-F63FC0B49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660</Words>
  <Characters>3963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Joanna Dyguda</cp:lastModifiedBy>
  <cp:revision>10</cp:revision>
  <dcterms:created xsi:type="dcterms:W3CDTF">2025-10-27T20:00:00Z</dcterms:created>
  <dcterms:modified xsi:type="dcterms:W3CDTF">2025-12-07T18:50:00Z</dcterms:modified>
</cp:coreProperties>
</file>